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24 112 vom 17. Juni 2025</w:t>
      </w:r>
    </w:p>
    <w:p>
      <w:r>
        <w:t>VS Kantonsgericht, 2025-06-17, FR</w:t>
      </w:r>
    </w:p>
    <w:p>
      <w:r>
        <w:rPr>
          <w:b/>
        </w:rPr>
        <w:t xml:space="preserve">Quelle: </w:t>
      </w:r>
      <w:r>
        <w:t>https://mcp.opencaselaw.ch/entscheid/vs_gerichte_F1 24 112</w:t>
      </w:r>
    </w:p>
    <w:p>
      <w:r>
        <w:t>FR: VS_GERICHTE F1 24 112 du 17 juin 2025</w:t>
      </w:r>
    </w:p>
    <w:p>
      <w:r>
        <w:t>IT: VS_GERICHTE F1 24 112 del 17 giugno 2025</w:t>
      </w:r>
    </w:p>
    <w:p>
      <w:pPr>
        <w:pStyle w:val="Heading2"/>
      </w:pPr>
      <w:r>
        <w:t>Regeste</w:t>
      </w:r>
    </w:p>
    <w:p>
      <w:r>
        <w:t>F1 24 112 ARRÊT DU 17 JUIN 2025 Tribunal cantonal du Valais Cour de droit fiscal Composition : Frédéric Fellay, président ; Dr. Thierry Schnyder juge, Didier Bourgeois juge assesseur ; Fabienne Délèze Constantin, greffière, en la cause X _________ SA EN LIQUIDATION, recourante, représentée par Y _________ SA, 1951 Sion contre COMMISSION CANTONALE D'IMPÔTS DES PERSONNES MORALES, autorité attaquée (Exonération fiscale d’une institution de prévoyance professionnelle, période fiscale 2021) recours contre la décision sur réclamation du 8 mars 2024</w:t>
      </w:r>
    </w:p>
    <w:p>
      <w:pPr>
        <w:pStyle w:val="Heading2"/>
      </w:pPr>
      <w:r>
        <w:t>Erwägungen</w:t>
      </w:r>
    </w:p>
    <w:p>
      <w:r>
        <w:rPr>
          <w:b/>
        </w:rPr>
        <w:t>E. 1</w:t>
      </w:r>
    </w:p>
    <w:p>
      <w:r>
        <w:t>Interjeté dans le délai et les formes prescrits, auprès de l’autorité compétente pour en connaître, le recours est recevable (art. 140 ss LIFD ; art. 50 al. 1 LHID ; art. 150 LF). Il porte tant sur l’IFD que sur les ICC, mais peut être traité dans un seul arrêt (ATF 135 II 260 consid. 1.3.1). II. Impôt fédéral direct</w:t>
      </w:r>
    </w:p>
    <w:p>
      <w:r>
        <w:rPr>
          <w:b/>
        </w:rPr>
        <w:t>E. 2</w:t>
      </w:r>
    </w:p>
    <w:p>
      <w:r>
        <w:t>La recourante invoque une violation des art. 56 let. e LIFD et 80 al. 2 LPP. Elle estime qu’en application de ces dispositions, elle doit être exonérée d’impôt en 2021.</w:t>
      </w:r>
    </w:p>
    <w:p>
      <w:r>
        <w:t>- 8 -</w:t>
      </w:r>
    </w:p>
    <w:p>
      <w:r>
        <w:rPr>
          <w:b/>
        </w:rPr>
        <w:t>E. 2.1</w:t>
      </w:r>
    </w:p>
    <w:p>
      <w:r>
        <w:t>Selon l’art. 56 let. e LIFD, les institutions de prévoyance professionnelle d’entreprises qui ont leur domicile, leur siège ou un établissement stable en Suisse et d’entreprises qui ont avec elles des liens étroits sont exonérées de l’impôt à la condition d’affecter durablement et exclusivement leurs ressources à la prévoyance en faveur du personnel. Cette disposition correspond sur le plan matériel à l’art. 80 al. 2 LPP, dont elle reprend le principe (LAFFELY MAILLARD in : AUBRY GIRARDIN/NOËL [édit.], Commentaire de la LIFD, 2ème éd. 2017, n. 27 ad art. 56 LIFD ; Message du Conseil fédéral du 1er mai 1984 concernant l’adaptation de l’impôt fédéral direct à la LPP, FF 1984 II 749, p. 757). De manière similaire, l’art. 80 al. 2 LPP dispose en effet que, dans la mesure où leurs revenus et leurs éléments de fortune sont exclusivement affectés à des fins de prévoyance professionnelle, les institutions de prévoyance de droit privé ou de droit public qui ont la personnalité juridique sont exonérées des impôts directs de la Confédération, des cantons et des communes, ainsi que d’impôts sur les successions et sur les donations perçus par les cantons et les communes.</w:t>
      </w:r>
    </w:p>
    <w:p>
      <w:r>
        <w:rPr>
          <w:b/>
        </w:rPr>
        <w:t>E. 2.2</w:t>
      </w:r>
    </w:p>
    <w:p>
      <w:r>
        <w:t>Ces dispositions s’appliquent aux institutions de prévoyance qui sont inscrites au registre de la prévoyance professionnelle et pratiquent l’assurance obligatoire (art. 48 LPP), à celles qui pratiquent la prévoyance surobligatoire en étendant leurs prestations au-delà du minimum légal (art. 49 LPP), ainsi qu’à celles non inscrites qui pratiquent la prévoyance professionnelle dite libre ou hors obligatoire au sens des art. 331 al. 3 CO et 89a al. 6 CC (sur ces différents types d’institutions, cf. LAFFELY MAILLARD, op. cit., n. 3 ad art. 22 LIFD). Sans être des institutions de prévoyance au sens des art. 48 ss LPP, les fondations patronales ou fondations de secours, qui, tout en étant exclusivement financées par l’employeur, allouent des prestations discrétionnaires dans le cadre de la prévoyance vieillesse, survivants et invalidité, sont également soumises à l’art. 80 LPP (cf. art. 89a al. 7 ch. 10 CC).</w:t>
      </w:r>
    </w:p>
    <w:p>
      <w:r>
        <w:rPr>
          <w:b/>
        </w:rPr>
        <w:t>E. 2.3</w:t>
      </w:r>
    </w:p>
    <w:p>
      <w:r>
        <w:t>L’art. 56 let. e LIFD subordonne l’exonération subjective des institutions précitées à la condition qu’elles affectent exclusivement et durablement leurs ressources à un but de prévoyance professionnelle (LAFFELY MAILLARD, op. cit., n. 27 ad art. 56 LIFD). Selon l’art. 1 al. 1 LPP, celle-ci comprend l’ensemble des mesures prises sur une base collective pour permettre aux personnes âgées, aux survivants et aux invalides, ensemble avec les prestations de l’assurance vieillesse, survivants et invalidité fédérale (AVS/AI), de maintenir leur niveau de vie de manière appropriée, lors de la réalisation d’un cas d’assurance vieillesse, décès ou invalidité. La prévoyance professionnelle est ainsi soumise au respect d’un certain nombre de principes qui ont été initialement développés par les autorités fiscales et qui sont désormais ancrés à l’art. 1 al. 3 LPP,</w:t>
      </w:r>
    </w:p>
    <w:p>
      <w:r>
        <w:t>- 9 - respectivement concrétisés aux art. 1 ss de l’OPP 2 (LOCHER/GIGER/PEDROLI, Kommentar zum Bundesgesetz über die direkte Bundessteuer, 2ème éd. 2022, n. 55 ad art. 56 LIFD ; pour un aperçu de l’historique de ces principes, cf. ATF 131 II 593 consid.</w:t>
      </w:r>
    </w:p>
    <w:p>
      <w:r>
        <w:rPr>
          <w:b/>
        </w:rPr>
        <w:t>E. 2.4</w:t>
      </w:r>
    </w:p>
    <w:p>
      <w:r>
        <w:t>Aux termes de l’art. 1c OPP 2, le principe de la collectivité est respecté lorsque l’institution de prévoyance ou la caisse de pensions affiliée institue une ou plusieurs collectivités d’assurés dans son règlement. L’appartenance à un collectif doit être déterminée sur la base de critères objectifs tels que, notamment, le nombre d’années de service, la fonction exercée, la situation hiérarchique, l’âge ou le niveau de salaire (al. 1). Le principe de la collectivité est également respecté lorsqu’une seule personne est assurée dans le plan de prévoyance mais que le règlement prévoit la possibilité d’assurer en principe d’autres personnes (principe dit de la collectivité virtuelle). Cet alinéa ne s’applique toutefois pas à l’assurance facultative des indépendants au sens de l’art. 44 LPP (al. 2 ). En principe, la prévoyance professionnelle doit donc s’étendre à tous les salariés d’une entreprise, le principe de collectivité restreignant les possibilités d’aménager des solutions individuelles ou « à la carte », taillées sur mesure pour certains employés (RICHNER/FREI/KAUFMANN/ROHNER, op. cit., n. 30 ad. art. 56 LIFD ; LOCHER/GIGER/PEDROLI, op. cit., n. 65 ad. art. 56 LIFD et les références citées). Selon la jurisprudence, une institution qui limite sa prévoyance à un ou plusieurs directeurs actionnaires de l’entreprise fondatrice ou au seul employé et unique actionnaire de cette dernière n’a pas le droit d’être exonérée d’impôt. Ce type de construction, qui correspond économiquement à de la prévoyance individuelle, met en effet à mal le principe de la collectivité (ATF 120 Ib 199 consid. 3c = StR 1995 p. 305 ss). Dans un précédent arrêt du 10 avril 1987, le Tribunal fédéral avait déjà jugé qu’une fondation de prévoyance ne comptant qu’un seul affilié, au demeurant actionnaire et directeur de l’entreprise fondatrice, ne remplissait pas les conditions d’une exonération fiscale (ATF 113 Ib 13 consid. 4 à 6 = ASA 58, 39 = RDAF 1991 p. 113). Plus récemment, il a précisé que le principe de collectivité ne s’opposait pas à ce que deux salariés et actionnaires d’une entreprise soient les seuls assurés d’un plan de prévoyance complémentaire, pour autant que les dispositions réglementaires garantissent l’accès à ce plan à tous les employés de l’entreprise (et non seulement aux actionnaires) et que d’autres employés</w:t>
      </w:r>
    </w:p>
    <w:p>
      <w:r>
        <w:t>- 10 - soient effectivement susceptibles d’en remplir les conditions d’adhésion (arrêt du Tribunal fédéral 9C_613/2022 du 20 avril 2023 consid. 4.5.3, arrêt du Tribunal fédéral 2A.404/2001 du 20 mars 2002, consid. 2.2 et 2.3). Pour que le principe de la collectivité soit respecté, il est donc nécessaire qu’un plan de prévoyance constitue aussi bien formellement que matériellement un plan collectif, soit que l’admission future d’un employé au plan de prévoyance dont les actionnaires de la société affiliée bénéficient se fonde sur une possibilité réaliste (arrêt du Tribunal fédéral 9C_613/2022 précité consid. 4.5.3, arrêt du Tribunal fédéral 2C_745/2016 et 2C_749/2016 du 6 février 2017 consid. 5.3 et les références citées = StR 2017 p. 396 ss).</w:t>
      </w:r>
    </w:p>
    <w:p>
      <w:r>
        <w:rPr>
          <w:b/>
        </w:rPr>
        <w:t>E. 2.5</w:t>
      </w:r>
    </w:p>
    <w:p>
      <w:r>
        <w:t>Quant à la condition de l’affectation – exclusive et durable – des ressources de l’institution à un but de prévoyance professionnelle, elle fait également l’objet de jurisprudence. Le Tribunal fédéral a, par exemple, jugé que l’institution de prévoyance qui détient l’entreprise fondatrice par le biais de participations majoritaires ou minoritaires exerce une activité économique excluant son exonération fiscale au sens de l’art. 56 let. e LIFD et ce, même lorsqu’elle utilise les rendements de ses participations à des fins de prévoyance professionnelle (arrêt du Tribunal fédéral du 26 juin 1987 publié in ASA 57 p. 556 ; arrêt du Tribunal fédéral du 14 décembre 1989 publié in ASA 60, 143 = RDAF 1993 p. 245). Ce faisant, l’institution de prévoyance assume les activités et risques d’un entrepreneur et ne poursuit donc plus exclusivement un but de prévoyance professionnelle au sens exigé par les art. 56 let. e LIFD et 80 al. 2 LPP (arrêt du Tribunal fédéral du 14 décembre 1989 précité consid. 3.c ; LOCHER/GIGER/PEDROLI, op. cit., n. 58 ad. art. 56 LIFD ; STAUFER, Berufliche Vorsorge, 3ème éd. 2019, p. 792, n. 2402). De même, l’institution de prévoyance qui conserve les fonds d’un assuré après la survenance d’un cas d’assurance (vieillesse, décès ou invalidité) n’exerce plus un but de prévoyance professionnelle. Elle se livre, ce faisant, à une activité financière ou bancaire de gestion de fortune qui ne lui donne pas le droit d’être exonérée d’impôt (arrêt du Tribunal fédéral 2P.43/2000 du 26 mai 2000 consid. 2e ; SCHNEIDER/MERLINO/MANGE, Commentaire des assurances sociales suisses, LPP et LFLP, 2ème éd. 2020, n. 24 ad. art. 80 LPP).</w:t>
      </w:r>
    </w:p>
    <w:p>
      <w:r>
        <w:rPr>
          <w:b/>
        </w:rPr>
        <w:t>E. 2.6</w:t>
      </w:r>
    </w:p>
    <w:p>
      <w:r>
        <w:t>Pour pouvoir bénéficier de l’exonération fiscale prévue par l’art. 56 let. e LIFD, il ne suffit pas que les dispositions statutaires et réglementaires de l’institution de prévoyance soient conformes aux principes de la prévoyance professionnelle rappelés ci-dessus. Il faut encore que l’institution de prévoyance respecte effectivement ses principes dans l’exercice de ses activités (cf. LOCHER/GIGER/PEDROLI, op. cit., 2ème éd. 2022, n. 59 et 5 ad. art. 56 LIFD et les nombreuses références citées). L’octroi ou le retrait de</w:t>
      </w:r>
    </w:p>
    <w:p>
      <w:r>
        <w:t>- 11 - l’exonération fiscale fondée sur l’art. 56 let. e LIFD est de la seule compétence de l’autorité fiscale qui n’est pas liée par les décisions des autorités de surveillance des institutions de prévoyance. L’exonération n’est pas un droit acquis, de sorte que l’autorité fiscale peut, à chaque période de taxation et sous réserve d’arbitraire, non seulement examiner la conformité des activités d’une institution de prévoyance à la LPP, mais également qualifier différemment la situation en droit quand bien même la situation de fait n’aurait pas changé (ATF 113 Ib 13 consid. 3a ; LAFFELY MAILLARD, op.cit., n. 29 ad art. 56 LIFD et le références citées).</w:t>
      </w:r>
    </w:p>
    <w:p>
      <w:r>
        <w:rPr>
          <w:b/>
        </w:rPr>
        <w:t>E. 3</w:t>
      </w:r>
    </w:p>
    <w:p>
      <w:r>
        <w:t>En l’espèce, il ressort des comptes de la recourante annexés à sa déclaration d’impôt (cf. p. 30 du dossier du SCC) que l’intéressée n’a pas encaissé de cotisations LPP, ni versé de prestations de prévoyance en 2021. De ce seul constat, l’on peut déjà retenir, comme l’a fait la CIPM, que les ressources de la recourante n’ont pas été utilisées à des fins de prévoyance professionnelle durant l’exercice litigieux. D’autres éléments du dossier montrent par ailleurs que les activités effectives de la recourante n’étaient plus conformes aux principes de la prévoyance professionnelle depuis plusieurs années. Dès septembre 2013, la recourante ne comptait, en effet, plus que deux assurés qui étaient actionnaires et administrateurs de la société fondatrice. Cette situation mettait à mal le principe de la collectivité, dont la violation pouvait effectivement être considérée comme acquise en 2021, puisqu’aucun autre employé de la société fondatrice n’avait été affilié à la recourante depuis huit ans et que cette dernière envisageait sa dissolution depuis janvier 2019. A compter de cette date, il n’existait donc plus de possibilité réaliste qu’un autre employé de la société fondatrice soit assuré auprès de la recourante. Cette dernière n’était plus destinée qu’à servir des prestations à ses deux assurés et administrateurs de la société fondatrice, à la manière d’un organisme actif en matière de prévoyance individuelle. A cela s’ajoute le fait que la recourante a continué de gérer les avoirs de vieillesse de ces assurés, après que le premier d’entre eux a fait valoir son droit à la retraite anticipée et que le second a requis et obtenu la conversion de sa rente en capital. La recourante reconnaît expressément qu’en dépit des décisions prises le 16 janvier 2019, « les biens n’ont pas été distribués sous forme de capital à l’assuré ayant-droit » (cf. p. 2 de son recours). Depuis janvier 2019, malgré la survenance du dernier cas d’assurance, la recourante a conservé les avoirs de ses deux derniers assurés et s’est livrées à des activités de gestion de fortune, plutôt qu’à des activités de prévoyance professionnelle, en violation de l’art. 56 let. e LIFD. Enfin, le SCC a exposé, sans être contredit par la recourante, que cette dernière avait détenu des actions de la société fondatrice jusqu’en 2020 (plus précisément 410</w:t>
      </w:r>
    </w:p>
    <w:p>
      <w:r>
        <w:t>- 12 - actions selon le procès-verbal de taxation 2021, sur les 600 actions que compte cette société), respectivement qu’elle avait, à plusieurs occasions, prêté des fonds à l’un de ses assurés. Or, de telles activités, de nature entrepreneuriale et financière, ne comptent pas parmi celles qu’une institution de prévoyance professionnelle doit exercer pour pouvoir être exonérée d’impôt au sens de l’art. 56 let. e LIFD. Au vu de ce qui précède, la conclusion selon laquelle la recourante ne poursuivait plus (exclusivement) un but de prévoyance professionnelle en 2021 s’avère parfaitement fondée. Elle doit être confirmée et ce, même si la recourante demeure soumise à la surveillance de l’As-So et au respect du droit de prévoyance jusqu’à sa liquidation totale. En effet, le seul fait que la recourante soit tenue de respecter son but statutaire jusqu’à la fin de son existence ne signifie en effet pas qu’elle ne s’en serait pas écartée au cours de la période fiscale litigieuse, comme plusieurs éléments du dossier le démontrent. En conséquence, le grief de violation des art. 56 let. e LIFD et 80 al. 2 LPP doit être rejeté.</w:t>
      </w:r>
    </w:p>
    <w:p>
      <w:r>
        <w:rPr>
          <w:b/>
        </w:rPr>
        <w:t>E. 4</w:t>
      </w:r>
    </w:p>
    <w:p>
      <w:r>
        <w:t>En conséquence, l’imposition de la recourante en 2021 doit être confirmée, tant dans son principe que dans ses modalités, qui ne sont pas contestées. III. Impôts cantonaux et communaux</w:t>
      </w:r>
    </w:p>
    <w:p>
      <w:r>
        <w:rPr>
          <w:b/>
        </w:rPr>
        <w:t>E. 5</w:t>
      </w:r>
    </w:p>
    <w:p>
      <w:r>
        <w:t>Les conditions de l’exonération fiscale des institutions de prévoyance professionnelle sont les mêmes pour les impôts cantonaux et communaux que pour l’impôt fédéral direct (cf. les art. 23 al. 1 let. d LHID et 79 al. 1 let. d LF ; GRETER/GRETER, in ZWEIFEL/BEUSCH [édit.], Kommentar zum schweizerischen Steuerrecht, Bundesgestz über die Harmonisierung der direkten Steuern der Kantone und Gemeinden, 4ème éd. 2022, n. 11 ad art. 23 LHID). Ainsi, il peut être entièrement renvoyé à la motivation développée ci- dessus s’agissant des impôts cantonaux et communaux. IV. Conclusion, frais et dépens</w:t>
      </w:r>
    </w:p>
    <w:p>
      <w:r>
        <w:rPr>
          <w:b/>
        </w:rPr>
        <w:t>E. 6.1</w:t>
      </w:r>
    </w:p>
    <w:p>
      <w:r>
        <w:t>Les considérants qui précèdent conduisent au rejet du recours, tant en matière d’IFD que d’ICC (art. 150 al. 3 LF ; art. 80 al. 1 let. e et 60 al. 1 LPJA).</w:t>
      </w:r>
    </w:p>
    <w:p>
      <w:r>
        <w:rPr>
          <w:b/>
        </w:rPr>
        <w:t>E. 6.2</w:t>
      </w:r>
    </w:p>
    <w:p>
      <w:r>
        <w:t>Les frais de la cause, fixés principalement sur le vu des principes de la couverture des frais et de l’équivalence des prestations, à 1500 fr., sont mis à la charge de la recourante qui succombe et qui n’a pas droit à des dépens (art. 144 LIFD, art. 8 LALIFD ; art. 150 al. 3 LF ; art. 89 al. 1 LPJA, 64 al. 1 a contrario PA, 91 al. 1 a contrario LPJA ; art. 3 al. 3, 11, 13 al. 1 et 25 LTar).</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